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8E59" w14:textId="77777777" w:rsidR="00B238BD" w:rsidRPr="00B238BD" w:rsidRDefault="00B34B3B">
      <w:pPr>
        <w:rPr>
          <w:rFonts w:ascii="Open Sans" w:hAnsi="Open Sans" w:cs="Open Sans"/>
          <w:b/>
          <w:caps/>
          <w:sz w:val="24"/>
        </w:rPr>
      </w:pPr>
      <w:r w:rsidRPr="00B238BD">
        <w:rPr>
          <w:rFonts w:ascii="Open Sans" w:hAnsi="Open Sans" w:cs="Open Sans"/>
          <w:b/>
          <w:caps/>
          <w:sz w:val="24"/>
        </w:rPr>
        <w:t xml:space="preserve">Geld und Bürgergesellschaft </w:t>
      </w:r>
      <w:r w:rsidR="00B238BD" w:rsidRPr="00B238BD">
        <w:rPr>
          <w:rFonts w:ascii="Open Sans" w:hAnsi="Open Sans" w:cs="Open Sans"/>
          <w:b/>
          <w:caps/>
          <w:sz w:val="24"/>
        </w:rPr>
        <w:t>….</w:t>
      </w:r>
      <w:bookmarkStart w:id="0" w:name="_GoBack"/>
      <w:bookmarkEnd w:id="0"/>
    </w:p>
    <w:p w14:paraId="2B51A01F" w14:textId="321A9FC1" w:rsidR="00F13A6E" w:rsidRDefault="00B34B3B">
      <w:pPr>
        <w:rPr>
          <w:rFonts w:ascii="Open Sans" w:hAnsi="Open Sans" w:cs="Open Sans"/>
          <w:sz w:val="24"/>
        </w:rPr>
      </w:pPr>
      <w:r w:rsidRPr="00B34B3B">
        <w:rPr>
          <w:rFonts w:ascii="Open Sans" w:hAnsi="Open Sans" w:cs="Open Sans"/>
          <w:sz w:val="24"/>
        </w:rPr>
        <w:t xml:space="preserve">sind eng miteinander verknüpft. Geld kommt nicht zur Gesellschaft hinzu, sondern macht sie erst möglich. Das wurde bisher kaum gesehen. Die Artikel in diesem Abschnitt dienen dazu, das sichtbar </w:t>
      </w:r>
      <w:r w:rsidR="00E81EB0">
        <w:rPr>
          <w:rFonts w:ascii="Open Sans" w:hAnsi="Open Sans" w:cs="Open Sans"/>
          <w:sz w:val="24"/>
        </w:rPr>
        <w:t xml:space="preserve">zu </w:t>
      </w:r>
      <w:r w:rsidRPr="00B34B3B">
        <w:rPr>
          <w:rFonts w:ascii="Open Sans" w:hAnsi="Open Sans" w:cs="Open Sans"/>
          <w:sz w:val="24"/>
        </w:rPr>
        <w:t xml:space="preserve">machen. Das gelingt vielleicht am </w:t>
      </w:r>
      <w:r>
        <w:rPr>
          <w:rFonts w:ascii="Open Sans" w:hAnsi="Open Sans" w:cs="Open Sans"/>
          <w:sz w:val="24"/>
        </w:rPr>
        <w:t>schärfsten</w:t>
      </w:r>
      <w:r w:rsidRPr="00B34B3B">
        <w:rPr>
          <w:rFonts w:ascii="Open Sans" w:hAnsi="Open Sans" w:cs="Open Sans"/>
          <w:sz w:val="24"/>
        </w:rPr>
        <w:t xml:space="preserve"> in der Auseinandersetzung mit der (marxistischen) Utopie, </w:t>
      </w:r>
      <w:r w:rsidR="00E81EB0">
        <w:rPr>
          <w:rFonts w:ascii="Open Sans" w:hAnsi="Open Sans" w:cs="Open Sans"/>
          <w:sz w:val="24"/>
        </w:rPr>
        <w:t xml:space="preserve">welche die </w:t>
      </w:r>
      <w:r w:rsidRPr="00B34B3B">
        <w:rPr>
          <w:rFonts w:ascii="Open Sans" w:hAnsi="Open Sans" w:cs="Open Sans"/>
          <w:sz w:val="24"/>
        </w:rPr>
        <w:t xml:space="preserve">Abschaffung oder Überwindung von Geld </w:t>
      </w:r>
      <w:r w:rsidR="00E81EB0">
        <w:rPr>
          <w:rFonts w:ascii="Open Sans" w:hAnsi="Open Sans" w:cs="Open Sans"/>
          <w:sz w:val="24"/>
        </w:rPr>
        <w:t>vorsieht</w:t>
      </w:r>
      <w:r w:rsidRPr="00B34B3B">
        <w:rPr>
          <w:rFonts w:ascii="Open Sans" w:hAnsi="Open Sans" w:cs="Open Sans"/>
          <w:sz w:val="24"/>
        </w:rPr>
        <w:t xml:space="preserve">. Das aber ist ganz unmöglich und liefe auf die Beseitigung von Gesellschaft – ihren Ersatz durch einen Generalsekretär – hinaus. Der marxistische Sozialismus ist daher ein gedankliches Fehlkonstrukt. </w:t>
      </w:r>
    </w:p>
    <w:p w14:paraId="75789D4D" w14:textId="0E6AB509" w:rsidR="00706B9F" w:rsidRDefault="008723A8">
      <w:p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Diese Entdeckung käme zu spät, wenn sie sich nicht auch gegen die „bürgerliche“ Ökonomik richtete, aus der Marx nur die Konsequenzen zog. Das „Verbrechen“ </w:t>
      </w:r>
      <w:r w:rsidR="00E81EB0">
        <w:rPr>
          <w:rFonts w:ascii="Open Sans" w:hAnsi="Open Sans" w:cs="Open Sans"/>
          <w:sz w:val="24"/>
        </w:rPr>
        <w:t>jener</w:t>
      </w:r>
      <w:r>
        <w:rPr>
          <w:rFonts w:ascii="Open Sans" w:hAnsi="Open Sans" w:cs="Open Sans"/>
          <w:sz w:val="24"/>
        </w:rPr>
        <w:t xml:space="preserve"> besteht in der analytischen Eliminierung der „Gesellschaft“ (sprich des Vergesellschaftungsprozesses), aus dem Marx und später Lenin </w:t>
      </w:r>
      <w:r w:rsidR="00E81EB0">
        <w:rPr>
          <w:rFonts w:ascii="Open Sans" w:hAnsi="Open Sans" w:cs="Open Sans"/>
          <w:sz w:val="24"/>
        </w:rPr>
        <w:t xml:space="preserve">nur </w:t>
      </w:r>
      <w:r>
        <w:rPr>
          <w:rFonts w:ascii="Open Sans" w:hAnsi="Open Sans" w:cs="Open Sans"/>
          <w:sz w:val="24"/>
        </w:rPr>
        <w:t xml:space="preserve">den politisch fatalen Schluss zog, man könne an die Stelle des Prozesses die Gesellschaft selbst setzen. </w:t>
      </w:r>
      <w:r w:rsidR="00E81EB0">
        <w:rPr>
          <w:rFonts w:ascii="Open Sans" w:hAnsi="Open Sans" w:cs="Open Sans"/>
          <w:sz w:val="24"/>
        </w:rPr>
        <w:t>In der Tat sind alle ökonomischen Modelle hochzentralistisch. Es fehlt ihnen die Interaktion von Menschen, die nur qua Interaktion</w:t>
      </w:r>
      <w:r w:rsidR="006A0911">
        <w:rPr>
          <w:rFonts w:ascii="Open Sans" w:hAnsi="Open Sans" w:cs="Open Sans"/>
          <w:sz w:val="24"/>
        </w:rPr>
        <w:t>en</w:t>
      </w:r>
      <w:r w:rsidR="00E81EB0">
        <w:rPr>
          <w:rFonts w:ascii="Open Sans" w:hAnsi="Open Sans" w:cs="Open Sans"/>
          <w:sz w:val="24"/>
        </w:rPr>
        <w:t xml:space="preserve"> Menschen sind und Gesellschaften bilden können.  </w:t>
      </w:r>
    </w:p>
    <w:p w14:paraId="2F377D39" w14:textId="65AE6EE1" w:rsidR="00706B9F" w:rsidRDefault="00706B9F">
      <w:p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Der Abgrenzung gegen diesen </w:t>
      </w:r>
      <w:r w:rsidR="00E81EB0">
        <w:rPr>
          <w:rFonts w:ascii="Open Sans" w:hAnsi="Open Sans" w:cs="Open Sans"/>
          <w:sz w:val="24"/>
        </w:rPr>
        <w:t xml:space="preserve">ökonomistischen </w:t>
      </w:r>
      <w:r>
        <w:rPr>
          <w:rFonts w:ascii="Open Sans" w:hAnsi="Open Sans" w:cs="Open Sans"/>
          <w:sz w:val="24"/>
        </w:rPr>
        <w:t xml:space="preserve">Unsinn muss freilich eine Wissenschaft folgen, die zeigt, wie aus dem binnengesellschaftlichen Prozess, </w:t>
      </w:r>
      <w:r w:rsidR="00E81EB0">
        <w:rPr>
          <w:rFonts w:ascii="Open Sans" w:hAnsi="Open Sans" w:cs="Open Sans"/>
          <w:sz w:val="24"/>
        </w:rPr>
        <w:t>d.h.</w:t>
      </w:r>
      <w:r>
        <w:rPr>
          <w:rFonts w:ascii="Open Sans" w:hAnsi="Open Sans" w:cs="Open Sans"/>
          <w:sz w:val="24"/>
        </w:rPr>
        <w:t xml:space="preserve"> hauptsächlich der (Tausch</w:t>
      </w:r>
      <w:r>
        <w:rPr>
          <w:rFonts w:ascii="Open Sans" w:hAnsi="Open Sans" w:cs="Open Sans"/>
          <w:sz w:val="24"/>
        </w:rPr>
        <w:noBreakHyphen/>
        <w:t>)Relationen der Akteure</w:t>
      </w:r>
      <w:r w:rsidR="00E81EB0">
        <w:rPr>
          <w:rFonts w:ascii="Open Sans" w:hAnsi="Open Sans" w:cs="Open Sans"/>
          <w:sz w:val="24"/>
        </w:rPr>
        <w:t>,</w:t>
      </w:r>
      <w:r>
        <w:rPr>
          <w:rFonts w:ascii="Open Sans" w:hAnsi="Open Sans" w:cs="Open Sans"/>
          <w:sz w:val="24"/>
        </w:rPr>
        <w:t xml:space="preserve"> Wirtschaft und Gesellschaft entsteht. </w:t>
      </w:r>
      <w:r w:rsidR="006A0911">
        <w:rPr>
          <w:rFonts w:ascii="Open Sans" w:hAnsi="Open Sans" w:cs="Open Sans"/>
          <w:sz w:val="24"/>
        </w:rPr>
        <w:t xml:space="preserve">In diesem Vorhaben </w:t>
      </w:r>
      <w:r w:rsidR="00E81EB0">
        <w:rPr>
          <w:rFonts w:ascii="Open Sans" w:hAnsi="Open Sans" w:cs="Open Sans"/>
          <w:sz w:val="24"/>
        </w:rPr>
        <w:t>stehe</w:t>
      </w:r>
      <w:r w:rsidR="006A0911">
        <w:rPr>
          <w:rFonts w:ascii="Open Sans" w:hAnsi="Open Sans" w:cs="Open Sans"/>
          <w:sz w:val="24"/>
        </w:rPr>
        <w:t>n meine Überlegungen erst am Beginn.</w:t>
      </w:r>
      <w:r>
        <w:rPr>
          <w:rFonts w:ascii="Open Sans" w:hAnsi="Open Sans" w:cs="Open Sans"/>
          <w:sz w:val="24"/>
        </w:rPr>
        <w:t xml:space="preserve">  </w:t>
      </w:r>
      <w:r w:rsidR="008723A8">
        <w:rPr>
          <w:rFonts w:ascii="Open Sans" w:hAnsi="Open Sans" w:cs="Open Sans"/>
          <w:sz w:val="24"/>
        </w:rPr>
        <w:t xml:space="preserve"> </w:t>
      </w:r>
    </w:p>
    <w:p w14:paraId="7ECBBD0F" w14:textId="77777777" w:rsidR="00706B9F" w:rsidRDefault="00706B9F">
      <w:pPr>
        <w:rPr>
          <w:rFonts w:ascii="Open Sans" w:hAnsi="Open Sans" w:cs="Open Sans"/>
          <w:sz w:val="24"/>
        </w:rPr>
      </w:pPr>
    </w:p>
    <w:sectPr w:rsidR="00706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Gadug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32AB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2B7906"/>
    <w:multiLevelType w:val="hybridMultilevel"/>
    <w:tmpl w:val="18FE22C2"/>
    <w:lvl w:ilvl="0" w:tplc="E23A852E">
      <w:start w:val="1"/>
      <w:numFmt w:val="decimal"/>
      <w:pStyle w:val="Listennummer"/>
      <w:lvlText w:val="%1."/>
      <w:lvlJc w:val="left"/>
      <w:pPr>
        <w:ind w:left="1219" w:hanging="360"/>
      </w:pPr>
    </w:lvl>
    <w:lvl w:ilvl="1" w:tplc="04070019" w:tentative="1">
      <w:start w:val="1"/>
      <w:numFmt w:val="lowerLetter"/>
      <w:lvlText w:val="%2."/>
      <w:lvlJc w:val="left"/>
      <w:pPr>
        <w:ind w:left="1939" w:hanging="360"/>
      </w:pPr>
    </w:lvl>
    <w:lvl w:ilvl="2" w:tplc="0407001B" w:tentative="1">
      <w:start w:val="1"/>
      <w:numFmt w:val="lowerRoman"/>
      <w:lvlText w:val="%3."/>
      <w:lvlJc w:val="right"/>
      <w:pPr>
        <w:ind w:left="2659" w:hanging="180"/>
      </w:pPr>
    </w:lvl>
    <w:lvl w:ilvl="3" w:tplc="0407000F" w:tentative="1">
      <w:start w:val="1"/>
      <w:numFmt w:val="decimal"/>
      <w:lvlText w:val="%4."/>
      <w:lvlJc w:val="left"/>
      <w:pPr>
        <w:ind w:left="3379" w:hanging="360"/>
      </w:pPr>
    </w:lvl>
    <w:lvl w:ilvl="4" w:tplc="04070019" w:tentative="1">
      <w:start w:val="1"/>
      <w:numFmt w:val="lowerLetter"/>
      <w:lvlText w:val="%5."/>
      <w:lvlJc w:val="left"/>
      <w:pPr>
        <w:ind w:left="4099" w:hanging="360"/>
      </w:pPr>
    </w:lvl>
    <w:lvl w:ilvl="5" w:tplc="0407001B" w:tentative="1">
      <w:start w:val="1"/>
      <w:numFmt w:val="lowerRoman"/>
      <w:lvlText w:val="%6."/>
      <w:lvlJc w:val="right"/>
      <w:pPr>
        <w:ind w:left="4819" w:hanging="180"/>
      </w:pPr>
    </w:lvl>
    <w:lvl w:ilvl="6" w:tplc="0407000F" w:tentative="1">
      <w:start w:val="1"/>
      <w:numFmt w:val="decimal"/>
      <w:lvlText w:val="%7."/>
      <w:lvlJc w:val="left"/>
      <w:pPr>
        <w:ind w:left="5539" w:hanging="360"/>
      </w:pPr>
    </w:lvl>
    <w:lvl w:ilvl="7" w:tplc="04070019" w:tentative="1">
      <w:start w:val="1"/>
      <w:numFmt w:val="lowerLetter"/>
      <w:lvlText w:val="%8."/>
      <w:lvlJc w:val="left"/>
      <w:pPr>
        <w:ind w:left="6259" w:hanging="360"/>
      </w:pPr>
    </w:lvl>
    <w:lvl w:ilvl="8" w:tplc="0407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3B"/>
    <w:rsid w:val="002F5926"/>
    <w:rsid w:val="00626F05"/>
    <w:rsid w:val="006A0911"/>
    <w:rsid w:val="00706B9F"/>
    <w:rsid w:val="008723A8"/>
    <w:rsid w:val="008C23C7"/>
    <w:rsid w:val="00AA1053"/>
    <w:rsid w:val="00B238BD"/>
    <w:rsid w:val="00B34B3B"/>
    <w:rsid w:val="00E81EB0"/>
    <w:rsid w:val="00F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BB1B"/>
  <w15:chartTrackingRefBased/>
  <w15:docId w15:val="{E25EA9A0-3914-4F5C-AD86-46B9E64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unhideWhenUsed/>
    <w:rsid w:val="00626F05"/>
    <w:pPr>
      <w:spacing w:after="0" w:line="280" w:lineRule="exact"/>
      <w:jc w:val="both"/>
    </w:pPr>
    <w:rPr>
      <w:rFonts w:ascii="Times New Roman" w:eastAsia="Calibri" w:hAnsi="Times New Roman" w:cs="Vrinda"/>
      <w:szCs w:val="24"/>
    </w:rPr>
  </w:style>
  <w:style w:type="paragraph" w:styleId="Listennummer">
    <w:name w:val="List Number"/>
    <w:basedOn w:val="Standard"/>
    <w:qFormat/>
    <w:rsid w:val="002F5926"/>
    <w:pPr>
      <w:numPr>
        <w:numId w:val="2"/>
      </w:numPr>
      <w:spacing w:before="60" w:after="0" w:line="310" w:lineRule="exact"/>
      <w:jc w:val="both"/>
    </w:pPr>
    <w:rPr>
      <w:rFonts w:ascii="Times New Roman" w:eastAsia="Calibri" w:hAnsi="Times New Roman" w:cs="Vrinda"/>
      <w:sz w:val="24"/>
      <w:szCs w:val="24"/>
      <w:lang w:val="de-AT"/>
    </w:rPr>
  </w:style>
  <w:style w:type="paragraph" w:customStyle="1" w:styleId="Box">
    <w:name w:val="Box"/>
    <w:basedOn w:val="Standard"/>
    <w:rsid w:val="00F609D3"/>
    <w:pPr>
      <w:pBdr>
        <w:top w:val="single" w:sz="4" w:space="6" w:color="auto"/>
        <w:left w:val="single" w:sz="4" w:space="6" w:color="auto"/>
        <w:bottom w:val="single" w:sz="4" w:space="10" w:color="auto"/>
        <w:right w:val="single" w:sz="4" w:space="6" w:color="auto"/>
      </w:pBdr>
      <w:shd w:val="clear" w:color="auto" w:fill="F2F2F2" w:themeFill="background1" w:themeFillShade="F2"/>
      <w:spacing w:after="0" w:line="310" w:lineRule="exact"/>
      <w:jc w:val="both"/>
    </w:pPr>
    <w:rPr>
      <w:rFonts w:ascii="Times New Roman" w:eastAsia="Calibri" w:hAnsi="Times New Roman" w:cs="Vrind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Dietz</dc:creator>
  <cp:keywords/>
  <dc:description/>
  <cp:lastModifiedBy>Raimund Dietz</cp:lastModifiedBy>
  <cp:revision>3</cp:revision>
  <dcterms:created xsi:type="dcterms:W3CDTF">2016-10-13T18:58:00Z</dcterms:created>
  <dcterms:modified xsi:type="dcterms:W3CDTF">2016-10-15T09:23:00Z</dcterms:modified>
</cp:coreProperties>
</file>